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E41" w:rsidRDefault="00BF5E41" w:rsidP="00BF5E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E41" w:rsidRDefault="00BF5E41" w:rsidP="00BF5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F5E41" w:rsidRDefault="00BF5E41" w:rsidP="00BF5E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F5E41" w:rsidRDefault="00BF5E41" w:rsidP="00BF5E4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F5E41" w:rsidRDefault="00BF5E41" w:rsidP="00BF5E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F5E41" w:rsidRDefault="00BF5E41" w:rsidP="00BF5E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F5E41" w:rsidRDefault="00BF5E41" w:rsidP="00BF5E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137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-21-8/2171</w:t>
      </w:r>
    </w:p>
    <w:p w:rsidR="00D627BD" w:rsidRPr="00E81968" w:rsidRDefault="00BF5E41" w:rsidP="00BF5E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CC37D1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Лук’яновій Л.В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CC37D1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29 жовтня 2021 року у справі №120/8325/21-а, розглянувши </w:t>
      </w:r>
      <w:r w:rsidR="003123EB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Лук’яновій Ларисі Володимирівні,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керуючись п. 34 ст. 26 Закону України «Про місцеве самовря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27BD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C37D1">
        <w:rPr>
          <w:rFonts w:ascii="Times New Roman" w:hAnsi="Times New Roman" w:cs="Times New Roman"/>
          <w:sz w:val="28"/>
          <w:szCs w:val="28"/>
          <w:lang w:val="uk-UA"/>
        </w:rPr>
        <w:t>Лук’яновій Ларисі Володимирівні</w:t>
      </w:r>
      <w:r w:rsidR="00CC37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C37D1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C18CA"/>
    <w:rsid w:val="000D24E7"/>
    <w:rsid w:val="000F6BCC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23EB"/>
    <w:rsid w:val="00364ED2"/>
    <w:rsid w:val="00366957"/>
    <w:rsid w:val="00373FEF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B2937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1786"/>
    <w:rsid w:val="00B763E3"/>
    <w:rsid w:val="00B801F1"/>
    <w:rsid w:val="00BF5E4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C2E2F"/>
    <w:rsid w:val="00CC37D1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52F07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4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2021-12-22T13:20:00Z</cp:lastPrinted>
  <dcterms:created xsi:type="dcterms:W3CDTF">2021-12-22T13:18:00Z</dcterms:created>
  <dcterms:modified xsi:type="dcterms:W3CDTF">2021-12-24T09:06:00Z</dcterms:modified>
</cp:coreProperties>
</file>